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90BE" w14:textId="4E360D52" w:rsidR="00610F8D" w:rsidRDefault="00610F8D" w:rsidP="00610F8D">
      <w:r>
        <w:t xml:space="preserve">Preservation and </w:t>
      </w:r>
      <w:r>
        <w:t>Sustainability</w:t>
      </w:r>
      <w:r>
        <w:t xml:space="preserve"> Boilerplate</w:t>
      </w:r>
    </w:p>
    <w:p w14:paraId="0AA9E0FA" w14:textId="77BB4BF2" w:rsidR="00610F8D" w:rsidRDefault="00610F8D" w:rsidP="00610F8D">
      <w:r>
        <w:t>January 2021</w:t>
      </w:r>
    </w:p>
    <w:p w14:paraId="44EA9DFA" w14:textId="77777777" w:rsidR="00610F8D" w:rsidRDefault="00610F8D" w:rsidP="00610F8D"/>
    <w:p w14:paraId="09C26EB7" w14:textId="57A14F05" w:rsidR="00610F8D" w:rsidRDefault="00610F8D" w:rsidP="00610F8D">
      <w:pPr>
        <w:rPr>
          <w:i/>
          <w:iCs/>
        </w:rPr>
      </w:pPr>
      <w:r>
        <w:rPr>
          <w:i/>
          <w:iCs/>
        </w:rPr>
        <w:t xml:space="preserve">Note: Feel free to adjust and adapt this general explanation of the CTDA’s infrastructure for your particular needs. If you need more or different </w:t>
      </w:r>
      <w:proofErr w:type="gramStart"/>
      <w:r>
        <w:rPr>
          <w:i/>
          <w:iCs/>
        </w:rPr>
        <w:t>information</w:t>
      </w:r>
      <w:proofErr w:type="gramEnd"/>
      <w:r>
        <w:rPr>
          <w:i/>
          <w:iCs/>
        </w:rPr>
        <w:t xml:space="preserve"> please contact the CTDA.</w:t>
      </w:r>
    </w:p>
    <w:p w14:paraId="6261483C" w14:textId="77777777" w:rsidR="00610F8D" w:rsidRPr="00610F8D" w:rsidRDefault="00610F8D" w:rsidP="00610F8D">
      <w:pPr>
        <w:rPr>
          <w:i/>
          <w:iCs/>
        </w:rPr>
      </w:pPr>
    </w:p>
    <w:p w14:paraId="031E23F9" w14:textId="4D8C7B3F" w:rsidR="00610F8D" w:rsidRDefault="00610F8D" w:rsidP="00610F8D">
      <w:pPr>
        <w:ind w:firstLine="720"/>
      </w:pPr>
      <w:r w:rsidRPr="00F15690">
        <w:t>The Connecticut Digital Archive (</w:t>
      </w:r>
      <w:hyperlink r:id="rId10" w:history="1">
        <w:r w:rsidRPr="00111A2B">
          <w:rPr>
            <w:rStyle w:val="Hyperlink"/>
          </w:rPr>
          <w:t>https://ctdigitalarchive.org</w:t>
        </w:r>
      </w:hyperlink>
      <w:r w:rsidRPr="00F15690">
        <w:t>)</w:t>
      </w:r>
      <w:r>
        <w:t xml:space="preserve"> (CTDA)</w:t>
      </w:r>
      <w:r w:rsidRPr="00F15690">
        <w:t>, a program of the University of Connecticut Library</w:t>
      </w:r>
      <w:r>
        <w:t xml:space="preserve"> (UCL)</w:t>
      </w:r>
      <w:r w:rsidRPr="00F15690">
        <w:t xml:space="preserve">, serves as the standards-based long-term digital repository and infrastructure for cultural heritage and research institutions based in the state of Connecticut. The CTDA supports a diverse set of applications, services, and discovery tools that offer long-term management, secure storage, preservation solutions, and – whenever possible – open access to digital assets of enduring value as determined by participating organizations and institutions. </w:t>
      </w:r>
      <w:r>
        <w:t>Any gallery, library, archive, or museum (GLAM) Institution in Connecticut is eligible to participate in the CTDA</w:t>
      </w:r>
      <w:r w:rsidRPr="00F15690">
        <w:t>.</w:t>
      </w:r>
    </w:p>
    <w:p w14:paraId="3656C87D" w14:textId="77777777" w:rsidR="00610F8D" w:rsidRDefault="00610F8D" w:rsidP="00610F8D">
      <w:pPr>
        <w:ind w:firstLine="720"/>
      </w:pPr>
      <w:r>
        <w:t xml:space="preserve">The CTDA is powered by Drupal, Islandora, and Fedora open-source software platforms. The repository technology is supported by UCL in partnership with the University of Connecticut Information Technology Services (UITS) and </w:t>
      </w:r>
      <w:proofErr w:type="spellStart"/>
      <w:r>
        <w:t>Discoverygarden</w:t>
      </w:r>
      <w:proofErr w:type="spellEnd"/>
      <w:r>
        <w:t>, inc. (DGI) (</w:t>
      </w:r>
      <w:hyperlink r:id="rId11" w:history="1">
        <w:r w:rsidRPr="00111A2B">
          <w:rPr>
            <w:rStyle w:val="Hyperlink"/>
          </w:rPr>
          <w:t>https://www.discoverygarden.ca/about</w:t>
        </w:r>
      </w:hyperlink>
      <w:r>
        <w:t xml:space="preserve">). UITS provides and maintains repository hardware as well as data storage, backup, and recovery. DGI works with CTDA staff to maintain, upgrade, and develop new software for the repository. </w:t>
      </w:r>
    </w:p>
    <w:p w14:paraId="3A56211B" w14:textId="442C7761" w:rsidR="00610F8D" w:rsidRDefault="00610F8D" w:rsidP="00610F8D">
      <w:pPr>
        <w:ind w:firstLine="720"/>
      </w:pPr>
      <w:r>
        <w:t xml:space="preserve">The repository can accept new data in any format and structure </w:t>
      </w:r>
      <w:r>
        <w:t>as explained</w:t>
      </w:r>
      <w:r>
        <w:t xml:space="preserve"> in the Policies document (</w:t>
      </w:r>
      <w:hyperlink r:id="rId12" w:history="1">
        <w:r w:rsidRPr="00111A2B">
          <w:rPr>
            <w:rStyle w:val="Hyperlink"/>
          </w:rPr>
          <w:t>https://confluence.uconn.edu/display/CTDA/Policies</w:t>
        </w:r>
      </w:hyperlink>
      <w:r>
        <w:t xml:space="preserve">). This includes support for all viable bit streams and proprietary file formats. The CTDA program aims to lower the bar of entry for digital preservation for institutions of all sizes. As a result, the repository is configured and operated to maximize opportunities for self-service deposit of digital content. Once under secure management, this content is open to ongoing review and enrichment by collections managers and curators from member institutions to maintain and increase its curatorial value and provide a higher level of assurance of its ongoing availability and usability. </w:t>
      </w:r>
    </w:p>
    <w:p w14:paraId="1540ED84" w14:textId="77777777" w:rsidR="00610F8D" w:rsidRDefault="00610F8D" w:rsidP="00610F8D">
      <w:pPr>
        <w:ind w:firstLine="720"/>
      </w:pPr>
      <w:r>
        <w:t>All submissions to the repository are accompanied by a MODS metadata record (</w:t>
      </w:r>
      <w:hyperlink r:id="rId13" w:history="1">
        <w:r w:rsidRPr="00111A2B">
          <w:rPr>
            <w:rStyle w:val="Hyperlink"/>
          </w:rPr>
          <w:t>http://www.loc.gov/standards/mods/</w:t>
        </w:r>
      </w:hyperlink>
      <w:r>
        <w:t>). The repository’s submission systems requires all depositors to furnish elements equivalent to the DLF’s Shareable Metadata Guidelines MODS Levels of Adoption Level 1 (</w:t>
      </w:r>
      <w:hyperlink r:id="rId14" w:history="1">
        <w:r w:rsidRPr="00111A2B">
          <w:rPr>
            <w:rStyle w:val="Hyperlink"/>
          </w:rPr>
          <w:t>https://uisapp2.iu.edu/confluence-prd/display/iulDLFAquifer/MODS+Guidelines+Levels+of+Adoption</w:t>
        </w:r>
      </w:hyperlink>
      <w:r>
        <w:t>) in accordance to the CTDA MODS Implementation Guidelines (</w:t>
      </w:r>
      <w:hyperlink r:id="rId15" w:history="1">
        <w:r w:rsidRPr="00111A2B">
          <w:rPr>
            <w:rStyle w:val="Hyperlink"/>
          </w:rPr>
          <w:t>https://confluence.uconn.edu/display/CTDA/Describing+Your+Objects?preview=/50922349/73859578/CTDA_Metadata_Guidelines_201605.pdf</w:t>
        </w:r>
      </w:hyperlink>
      <w:r>
        <w:t xml:space="preserve">). The CTDA also requires all depositors to furnish elements needed to share records with data providers such as </w:t>
      </w:r>
      <w:proofErr w:type="spellStart"/>
      <w:r>
        <w:t>ResearchIt</w:t>
      </w:r>
      <w:proofErr w:type="spellEnd"/>
      <w:r>
        <w:t xml:space="preserve"> or DPLA. Users have the option to also generate a Dublin Core metadata record upon ingest of digital objects into the repository.</w:t>
      </w:r>
      <w:r w:rsidRPr="005724C9">
        <w:t xml:space="preserve"> </w:t>
      </w:r>
      <w:r w:rsidRPr="00F15690">
        <w:t>A CC0 license is applied to all metadata for open access objects.</w:t>
      </w:r>
      <w:r>
        <w:t xml:space="preserve"> </w:t>
      </w:r>
      <w:r w:rsidRPr="00F15690">
        <w:t xml:space="preserve">Open access objects and the associated descriptive metadata will be exposed to Internet search engines so that it is exposed and made available to the world. </w:t>
      </w:r>
    </w:p>
    <w:p w14:paraId="76E49939" w14:textId="77777777" w:rsidR="00610F8D" w:rsidRDefault="00610F8D" w:rsidP="00610F8D">
      <w:pPr>
        <w:ind w:firstLine="720"/>
      </w:pPr>
      <w:r w:rsidRPr="005724C9">
        <w:t xml:space="preserve">The repository provides general guidelines for different formats and content for ingest into the system. Additional metadata files may be included as part of the data placed in the </w:t>
      </w:r>
      <w:r w:rsidRPr="005724C9">
        <w:lastRenderedPageBreak/>
        <w:t>repository. The repository does not perform any explicit check of data, dataset, or metadata quality, beyond confirming the presence of required elements</w:t>
      </w:r>
      <w:r>
        <w:t xml:space="preserve"> as outlined above</w:t>
      </w:r>
      <w:r w:rsidRPr="005724C9">
        <w:t>. Primary responsibility for developing appropriate data creation, acquisition, and description protocols and workflows is held by users belonging to their respective member institutions.</w:t>
      </w:r>
      <w:r>
        <w:t xml:space="preserve"> </w:t>
      </w:r>
    </w:p>
    <w:p w14:paraId="3AD7095B" w14:textId="77777777" w:rsidR="00610F8D" w:rsidRDefault="00610F8D" w:rsidP="00610F8D">
      <w:pPr>
        <w:ind w:firstLine="720"/>
      </w:pPr>
      <w:r>
        <w:t xml:space="preserve">The CTDA works within evolving “best practices” to be responsible stewards and will work to preserve the metadata and supported digital and media objects. The CTDA will research the “state of the art” preservation practices and offer preservation ideas and recommendations. Choices regarding preservation will be based on the CTDA’s community demand. Assessments will be continuously undertaken regarding ongoing technical feasibilities and digital repository “best practices.” </w:t>
      </w:r>
    </w:p>
    <w:p w14:paraId="668EC664" w14:textId="77777777" w:rsidR="00610F8D" w:rsidRDefault="00610F8D" w:rsidP="00610F8D">
      <w:pPr>
        <w:ind w:firstLine="720"/>
      </w:pPr>
      <w:r>
        <w:t>At a minimum the CTDA is committed to the preservation of primary content data streams at the bit stream level. The CTDA offers consultation and guidance to our community institutions on ways to acquire or create digital content in a manner that is most amenable to the highest level of future preservation services. PREMIS metadata, including generating checksums and METS container metadata can be requested by content managers at any time, including during ingest of new content.</w:t>
      </w:r>
    </w:p>
    <w:p w14:paraId="0E5DDE78" w14:textId="65E86B64" w:rsidR="00610F8D" w:rsidRDefault="00610F8D" w:rsidP="00610F8D">
      <w:pPr>
        <w:ind w:firstLine="720"/>
      </w:pPr>
    </w:p>
    <w:p w14:paraId="206CC0DC" w14:textId="072F701F" w:rsidR="004506B7" w:rsidRDefault="004506B7" w:rsidP="00610F8D">
      <w:pPr>
        <w:ind w:firstLine="720"/>
      </w:pPr>
    </w:p>
    <w:p w14:paraId="41ED1194" w14:textId="77777777" w:rsidR="004506B7" w:rsidRDefault="004506B7" w:rsidP="00610F8D">
      <w:pPr>
        <w:ind w:firstLine="720"/>
      </w:pPr>
    </w:p>
    <w:p w14:paraId="13FF1D2F" w14:textId="56AD06D8" w:rsidR="004506B7" w:rsidRPr="004506B7" w:rsidRDefault="004506B7" w:rsidP="004506B7">
      <w:pPr>
        <w:rPr>
          <w:i/>
          <w:iCs/>
        </w:rPr>
      </w:pPr>
      <w:r>
        <w:rPr>
          <w:i/>
          <w:iCs/>
        </w:rPr>
        <w:t>Basic CTDA Information aligned with IMLS Digital Pro</w:t>
      </w:r>
      <w:r w:rsidR="009F44D0">
        <w:rPr>
          <w:i/>
          <w:iCs/>
        </w:rPr>
        <w:t>duct</w:t>
      </w:r>
      <w:r>
        <w:rPr>
          <w:i/>
          <w:iCs/>
        </w:rPr>
        <w:t xml:space="preserve"> form 2020 edition: </w:t>
      </w:r>
      <w:r>
        <w:rPr>
          <w:rFonts w:ascii="Calibri" w:hAnsi="Calibri" w:cs="Calibri"/>
          <w:color w:val="000000"/>
          <w:sz w:val="22"/>
          <w:szCs w:val="22"/>
        </w:rPr>
        <w:br/>
        <w:t> </w:t>
      </w:r>
    </w:p>
    <w:p w14:paraId="3D0F50C4" w14:textId="77777777" w:rsidR="004506B7" w:rsidRDefault="004506B7" w:rsidP="004506B7">
      <w:pPr>
        <w:rPr>
          <w:color w:val="000000"/>
        </w:rPr>
      </w:pPr>
      <w:r>
        <w:rPr>
          <w:rFonts w:ascii="Calibri" w:hAnsi="Calibri" w:cs="Calibri"/>
          <w:color w:val="000000"/>
          <w:sz w:val="22"/>
          <w:szCs w:val="22"/>
        </w:rPr>
        <w:t>Question B.2</w:t>
      </w:r>
    </w:p>
    <w:p w14:paraId="0F9A4DFE" w14:textId="77777777" w:rsidR="004506B7" w:rsidRDefault="004506B7" w:rsidP="004506B7">
      <w:pPr>
        <w:rPr>
          <w:color w:val="000000"/>
        </w:rPr>
      </w:pPr>
      <w:r>
        <w:rPr>
          <w:rFonts w:ascii="Calibri" w:hAnsi="Calibri" w:cs="Calibri"/>
          <w:color w:val="000000"/>
          <w:sz w:val="22"/>
          <w:szCs w:val="22"/>
        </w:rPr>
        <w:t> </w:t>
      </w:r>
    </w:p>
    <w:p w14:paraId="2DAEB422" w14:textId="04255322" w:rsidR="004506B7" w:rsidRPr="004506B7" w:rsidRDefault="004506B7" w:rsidP="004506B7">
      <w:pPr>
        <w:rPr>
          <w:rFonts w:ascii="Calibri" w:hAnsi="Calibri" w:cs="Calibri"/>
          <w:color w:val="000000"/>
          <w:sz w:val="22"/>
          <w:szCs w:val="22"/>
        </w:rPr>
      </w:pPr>
      <w:r>
        <w:rPr>
          <w:rFonts w:ascii="Calibri" w:hAnsi="Calibri" w:cs="Calibri"/>
          <w:color w:val="000000"/>
          <w:sz w:val="22"/>
          <w:szCs w:val="22"/>
        </w:rPr>
        <w:t xml:space="preserve">All digital assets will be managed and preserved in the Connecticut Digital Archive, an OAIS-based, preservation-oriented digital repository that is an ongoing service of the UConn Library. Once ingested content is managed according to TRAC principles. The CTDA is currently preparing a submission to Core Trust Seal for certification. The CTDA has been serving non-profit cultural institutions since 2013. CTDA </w:t>
      </w:r>
      <w:r>
        <w:rPr>
          <w:rFonts w:ascii="Calibri" w:hAnsi="Calibri" w:cs="Calibri"/>
          <w:color w:val="000000"/>
          <w:sz w:val="22"/>
          <w:szCs w:val="22"/>
        </w:rPr>
        <w:t xml:space="preserve">policies relating to preservation are </w:t>
      </w:r>
      <w:r>
        <w:rPr>
          <w:rFonts w:ascii="Calibri" w:hAnsi="Calibri" w:cs="Calibri"/>
          <w:color w:val="000000"/>
          <w:sz w:val="22"/>
          <w:szCs w:val="22"/>
        </w:rPr>
        <w:t>available at: </w:t>
      </w:r>
      <w:r>
        <w:rPr>
          <w:rStyle w:val="apple-converted-space"/>
          <w:rFonts w:ascii="Calibri" w:hAnsi="Calibri" w:cs="Calibri"/>
          <w:color w:val="000000"/>
          <w:sz w:val="22"/>
          <w:szCs w:val="22"/>
        </w:rPr>
        <w:t> </w:t>
      </w:r>
      <w:hyperlink r:id="rId16" w:history="1">
        <w:r>
          <w:rPr>
            <w:rStyle w:val="Hyperlink"/>
            <w:rFonts w:ascii="Calibri" w:hAnsi="Calibri" w:cs="Calibri"/>
            <w:sz w:val="22"/>
            <w:szCs w:val="22"/>
          </w:rPr>
          <w:t>https://confluence.uconn.edu/display/CTDA/Policies</w:t>
        </w:r>
      </w:hyperlink>
      <w:r>
        <w:rPr>
          <w:rFonts w:ascii="Calibri" w:hAnsi="Calibri" w:cs="Calibri"/>
          <w:color w:val="000000"/>
          <w:sz w:val="22"/>
          <w:szCs w:val="22"/>
        </w:rPr>
        <w:t>, where</w:t>
      </w:r>
      <w:r>
        <w:rPr>
          <w:rFonts w:ascii="Calibri" w:hAnsi="Calibri" w:cs="Calibri"/>
          <w:color w:val="000000"/>
          <w:sz w:val="22"/>
          <w:szCs w:val="22"/>
        </w:rPr>
        <w:t xml:space="preserve"> information about our policies, infrastructure, governance and management are publicly available.</w:t>
      </w:r>
    </w:p>
    <w:p w14:paraId="2241524C" w14:textId="77777777" w:rsidR="004506B7" w:rsidRDefault="004506B7" w:rsidP="004506B7">
      <w:pPr>
        <w:rPr>
          <w:color w:val="000000"/>
        </w:rPr>
      </w:pPr>
      <w:r>
        <w:rPr>
          <w:rFonts w:ascii="Calibri" w:hAnsi="Calibri" w:cs="Calibri"/>
          <w:color w:val="000000"/>
          <w:sz w:val="22"/>
          <w:szCs w:val="22"/>
        </w:rPr>
        <w:t> </w:t>
      </w:r>
    </w:p>
    <w:p w14:paraId="3EFEEE33" w14:textId="77777777" w:rsidR="004506B7" w:rsidRDefault="004506B7" w:rsidP="004506B7">
      <w:pPr>
        <w:rPr>
          <w:color w:val="000000"/>
        </w:rPr>
      </w:pPr>
      <w:r>
        <w:rPr>
          <w:rFonts w:ascii="Calibri" w:hAnsi="Calibri" w:cs="Calibri"/>
          <w:color w:val="000000"/>
          <w:sz w:val="22"/>
          <w:szCs w:val="22"/>
        </w:rPr>
        <w:t>Question C.1</w:t>
      </w:r>
    </w:p>
    <w:p w14:paraId="5504E408" w14:textId="77777777" w:rsidR="004506B7" w:rsidRDefault="004506B7" w:rsidP="004506B7">
      <w:pPr>
        <w:rPr>
          <w:color w:val="000000"/>
        </w:rPr>
      </w:pPr>
      <w:r>
        <w:rPr>
          <w:rFonts w:ascii="Calibri" w:hAnsi="Calibri" w:cs="Calibri"/>
          <w:color w:val="000000"/>
          <w:sz w:val="22"/>
          <w:szCs w:val="22"/>
        </w:rPr>
        <w:t> </w:t>
      </w:r>
    </w:p>
    <w:p w14:paraId="37ACE804" w14:textId="45641DC3" w:rsidR="004506B7" w:rsidRDefault="004506B7" w:rsidP="004506B7">
      <w:pPr>
        <w:rPr>
          <w:color w:val="000000"/>
        </w:rPr>
      </w:pPr>
      <w:r>
        <w:rPr>
          <w:rFonts w:ascii="Calibri" w:hAnsi="Calibri" w:cs="Calibri"/>
          <w:color w:val="000000"/>
          <w:sz w:val="22"/>
          <w:szCs w:val="22"/>
        </w:rPr>
        <w:t xml:space="preserve">Participants </w:t>
      </w:r>
      <w:r>
        <w:rPr>
          <w:rFonts w:ascii="Calibri" w:hAnsi="Calibri" w:cs="Calibri"/>
          <w:color w:val="000000"/>
          <w:sz w:val="22"/>
          <w:szCs w:val="22"/>
        </w:rPr>
        <w:t xml:space="preserve">in the CTDA </w:t>
      </w:r>
      <w:r>
        <w:rPr>
          <w:rFonts w:ascii="Calibri" w:hAnsi="Calibri" w:cs="Calibri"/>
          <w:color w:val="000000"/>
          <w:sz w:val="22"/>
          <w:szCs w:val="22"/>
        </w:rPr>
        <w:t>use MODS as the descriptive metadata schema. All browser</w:t>
      </w:r>
      <w:r>
        <w:rPr>
          <w:rFonts w:ascii="Calibri" w:hAnsi="Calibri" w:cs="Calibri"/>
          <w:color w:val="000000"/>
          <w:sz w:val="22"/>
          <w:szCs w:val="22"/>
        </w:rPr>
        <w:t>- and spreadsheet</w:t>
      </w:r>
      <w:r>
        <w:rPr>
          <w:rFonts w:ascii="Calibri" w:hAnsi="Calibri" w:cs="Calibri"/>
          <w:color w:val="000000"/>
          <w:sz w:val="22"/>
          <w:szCs w:val="22"/>
        </w:rPr>
        <w:t xml:space="preserve">-based ingest forms translate to MODS XML </w:t>
      </w:r>
      <w:proofErr w:type="spellStart"/>
      <w:r>
        <w:rPr>
          <w:rFonts w:ascii="Calibri" w:hAnsi="Calibri" w:cs="Calibri"/>
          <w:color w:val="000000"/>
          <w:sz w:val="22"/>
          <w:szCs w:val="22"/>
        </w:rPr>
        <w:t>datastreams</w:t>
      </w:r>
      <w:proofErr w:type="spellEnd"/>
      <w:r>
        <w:rPr>
          <w:rFonts w:ascii="Calibri" w:hAnsi="Calibri" w:cs="Calibri"/>
          <w:color w:val="000000"/>
          <w:sz w:val="22"/>
          <w:szCs w:val="22"/>
        </w:rPr>
        <w:t xml:space="preserve"> in the repository, which will then generate DC XML for other uses. Upon ingest, technical metadata about the file is extracted and stored in an XML technical metadata </w:t>
      </w:r>
      <w:proofErr w:type="spellStart"/>
      <w:r>
        <w:rPr>
          <w:rFonts w:ascii="Calibri" w:hAnsi="Calibri" w:cs="Calibri"/>
          <w:color w:val="000000"/>
          <w:sz w:val="22"/>
          <w:szCs w:val="22"/>
        </w:rPr>
        <w:t>datastream</w:t>
      </w:r>
      <w:proofErr w:type="spellEnd"/>
      <w:r>
        <w:rPr>
          <w:rFonts w:ascii="Calibri" w:hAnsi="Calibri" w:cs="Calibri"/>
          <w:color w:val="000000"/>
          <w:sz w:val="22"/>
          <w:szCs w:val="22"/>
        </w:rPr>
        <w:t xml:space="preserve">, and an audit trail is started. The system will produce a PREMIS </w:t>
      </w:r>
      <w:proofErr w:type="spellStart"/>
      <w:r>
        <w:rPr>
          <w:rFonts w:ascii="Calibri" w:hAnsi="Calibri" w:cs="Calibri"/>
          <w:color w:val="000000"/>
          <w:sz w:val="22"/>
          <w:szCs w:val="22"/>
        </w:rPr>
        <w:t>datastream</w:t>
      </w:r>
      <w:proofErr w:type="spellEnd"/>
      <w:r>
        <w:rPr>
          <w:rFonts w:ascii="Calibri" w:hAnsi="Calibri" w:cs="Calibri"/>
          <w:color w:val="000000"/>
          <w:sz w:val="22"/>
          <w:szCs w:val="22"/>
        </w:rPr>
        <w:t xml:space="preserve"> on demand to document all administrative aspects of the file's life cycle to date. Relationship information about the object and its parents/children is stored in a separate RDF XML </w:t>
      </w:r>
      <w:proofErr w:type="spellStart"/>
      <w:r>
        <w:rPr>
          <w:rFonts w:ascii="Calibri" w:hAnsi="Calibri" w:cs="Calibri"/>
          <w:color w:val="000000"/>
          <w:sz w:val="22"/>
          <w:szCs w:val="22"/>
        </w:rPr>
        <w:t>datastream</w:t>
      </w:r>
      <w:proofErr w:type="spellEnd"/>
      <w:r>
        <w:rPr>
          <w:rFonts w:ascii="Calibri" w:hAnsi="Calibri" w:cs="Calibri"/>
          <w:color w:val="000000"/>
          <w:sz w:val="22"/>
          <w:szCs w:val="22"/>
        </w:rPr>
        <w:t xml:space="preserve">. All these </w:t>
      </w:r>
      <w:proofErr w:type="spellStart"/>
      <w:r>
        <w:rPr>
          <w:rFonts w:ascii="Calibri" w:hAnsi="Calibri" w:cs="Calibri"/>
          <w:color w:val="000000"/>
          <w:sz w:val="22"/>
          <w:szCs w:val="22"/>
        </w:rPr>
        <w:t>datastreams</w:t>
      </w:r>
      <w:proofErr w:type="spellEnd"/>
      <w:r>
        <w:rPr>
          <w:rFonts w:ascii="Calibri" w:hAnsi="Calibri" w:cs="Calibri"/>
          <w:color w:val="000000"/>
          <w:sz w:val="22"/>
          <w:szCs w:val="22"/>
        </w:rPr>
        <w:t xml:space="preserve"> form a single Fedora object</w:t>
      </w:r>
      <w:r>
        <w:rPr>
          <w:rFonts w:ascii="Calibri" w:hAnsi="Calibri" w:cs="Calibri"/>
          <w:color w:val="000000"/>
          <w:sz w:val="22"/>
          <w:szCs w:val="22"/>
        </w:rPr>
        <w:t xml:space="preserve"> which</w:t>
      </w:r>
      <w:r>
        <w:rPr>
          <w:rFonts w:ascii="Calibri" w:hAnsi="Calibri" w:cs="Calibri"/>
          <w:color w:val="000000"/>
          <w:sz w:val="22"/>
          <w:szCs w:val="22"/>
        </w:rPr>
        <w:t xml:space="preserve"> are individually addressable and re-usable by the system or external systems</w:t>
      </w:r>
      <w:r>
        <w:rPr>
          <w:rFonts w:ascii="Calibri" w:hAnsi="Calibri" w:cs="Calibri"/>
          <w:color w:val="000000"/>
          <w:sz w:val="22"/>
          <w:szCs w:val="22"/>
        </w:rPr>
        <w:t>.</w:t>
      </w:r>
    </w:p>
    <w:p w14:paraId="7F4DA483" w14:textId="77777777" w:rsidR="004506B7" w:rsidRDefault="004506B7" w:rsidP="004506B7">
      <w:pPr>
        <w:rPr>
          <w:color w:val="000000"/>
        </w:rPr>
      </w:pPr>
      <w:r>
        <w:rPr>
          <w:rFonts w:ascii="Calibri" w:hAnsi="Calibri" w:cs="Calibri"/>
          <w:color w:val="000000"/>
          <w:sz w:val="22"/>
          <w:szCs w:val="22"/>
        </w:rPr>
        <w:t> </w:t>
      </w:r>
    </w:p>
    <w:p w14:paraId="60AD253B" w14:textId="77777777" w:rsidR="004506B7" w:rsidRDefault="004506B7" w:rsidP="004506B7">
      <w:pPr>
        <w:rPr>
          <w:color w:val="000000"/>
        </w:rPr>
      </w:pPr>
      <w:r>
        <w:rPr>
          <w:rFonts w:ascii="Calibri" w:hAnsi="Calibri" w:cs="Calibri"/>
          <w:color w:val="000000"/>
          <w:sz w:val="22"/>
          <w:szCs w:val="22"/>
        </w:rPr>
        <w:t>Question C.2</w:t>
      </w:r>
    </w:p>
    <w:p w14:paraId="6D7A3B25" w14:textId="77777777" w:rsidR="004506B7" w:rsidRDefault="004506B7" w:rsidP="004506B7">
      <w:pPr>
        <w:rPr>
          <w:color w:val="000000"/>
        </w:rPr>
      </w:pPr>
      <w:r>
        <w:rPr>
          <w:rFonts w:ascii="Calibri" w:hAnsi="Calibri" w:cs="Calibri"/>
          <w:color w:val="000000"/>
          <w:sz w:val="22"/>
          <w:szCs w:val="22"/>
        </w:rPr>
        <w:t> </w:t>
      </w:r>
    </w:p>
    <w:p w14:paraId="053BFE2B" w14:textId="2CD6A618" w:rsidR="004506B7" w:rsidRDefault="004506B7" w:rsidP="004506B7">
      <w:pPr>
        <w:rPr>
          <w:color w:val="000000"/>
        </w:rPr>
      </w:pPr>
      <w:r>
        <w:rPr>
          <w:rFonts w:ascii="Calibri" w:hAnsi="Calibri" w:cs="Calibri"/>
          <w:color w:val="000000"/>
          <w:sz w:val="22"/>
          <w:szCs w:val="22"/>
        </w:rPr>
        <w:t xml:space="preserve">The CTDA uses a Fedora/Islandora/Drupal system that is OAIS-based and preservation oriented, following TRAC guidelines. The CTDA uses redundant storage and has disaster recovery procedures in </w:t>
      </w:r>
      <w:r>
        <w:rPr>
          <w:rFonts w:ascii="Calibri" w:hAnsi="Calibri" w:cs="Calibri"/>
          <w:color w:val="000000"/>
          <w:sz w:val="22"/>
          <w:szCs w:val="22"/>
        </w:rPr>
        <w:lastRenderedPageBreak/>
        <w:t>place, and uses version control, audit trails and PREMIS to ensure data integrity and recovery in case of damage. As mentioned above, met</w:t>
      </w:r>
      <w:r>
        <w:rPr>
          <w:rFonts w:ascii="Calibri" w:hAnsi="Calibri" w:cs="Calibri"/>
          <w:color w:val="000000"/>
          <w:sz w:val="22"/>
          <w:szCs w:val="22"/>
        </w:rPr>
        <w:t>a</w:t>
      </w:r>
      <w:r>
        <w:rPr>
          <w:rFonts w:ascii="Calibri" w:hAnsi="Calibri" w:cs="Calibri"/>
          <w:color w:val="000000"/>
          <w:sz w:val="22"/>
          <w:szCs w:val="22"/>
        </w:rPr>
        <w:t xml:space="preserve">data is stored in multiple </w:t>
      </w:r>
      <w:proofErr w:type="spellStart"/>
      <w:r>
        <w:rPr>
          <w:rFonts w:ascii="Calibri" w:hAnsi="Calibri" w:cs="Calibri"/>
          <w:color w:val="000000"/>
          <w:sz w:val="22"/>
          <w:szCs w:val="22"/>
        </w:rPr>
        <w:t>datastreams</w:t>
      </w:r>
      <w:proofErr w:type="spellEnd"/>
      <w:r>
        <w:rPr>
          <w:rFonts w:ascii="Calibri" w:hAnsi="Calibri" w:cs="Calibri"/>
          <w:color w:val="000000"/>
          <w:sz w:val="22"/>
          <w:szCs w:val="22"/>
        </w:rPr>
        <w:t xml:space="preserve"> normal in the Fedora system.  The CTDA runs on hardware managed and maintained by the University of Connecticut, and CTDA staff are funded by permanent budget lines at the UConn Library.</w:t>
      </w:r>
    </w:p>
    <w:p w14:paraId="699277AF" w14:textId="77777777" w:rsidR="004506B7" w:rsidRDefault="004506B7" w:rsidP="004506B7">
      <w:pPr>
        <w:rPr>
          <w:color w:val="000000"/>
        </w:rPr>
      </w:pPr>
      <w:r>
        <w:rPr>
          <w:rFonts w:ascii="Calibri" w:hAnsi="Calibri" w:cs="Calibri"/>
          <w:color w:val="000000"/>
          <w:sz w:val="22"/>
          <w:szCs w:val="22"/>
        </w:rPr>
        <w:t> </w:t>
      </w:r>
    </w:p>
    <w:p w14:paraId="33065A07" w14:textId="77777777" w:rsidR="004506B7" w:rsidRDefault="004506B7" w:rsidP="004506B7">
      <w:pPr>
        <w:rPr>
          <w:color w:val="000000"/>
        </w:rPr>
      </w:pPr>
      <w:r>
        <w:rPr>
          <w:rFonts w:ascii="Calibri" w:hAnsi="Calibri" w:cs="Calibri"/>
          <w:color w:val="000000"/>
          <w:sz w:val="22"/>
          <w:szCs w:val="22"/>
        </w:rPr>
        <w:t>Question C.3</w:t>
      </w:r>
    </w:p>
    <w:p w14:paraId="15B89623" w14:textId="77777777" w:rsidR="004506B7" w:rsidRDefault="004506B7" w:rsidP="004506B7">
      <w:pPr>
        <w:rPr>
          <w:color w:val="000000"/>
        </w:rPr>
      </w:pPr>
      <w:r>
        <w:rPr>
          <w:rFonts w:ascii="Calibri" w:hAnsi="Calibri" w:cs="Calibri"/>
          <w:color w:val="000000"/>
          <w:sz w:val="22"/>
          <w:szCs w:val="22"/>
        </w:rPr>
        <w:t> </w:t>
      </w:r>
    </w:p>
    <w:p w14:paraId="65647D27" w14:textId="5E90969A" w:rsidR="004506B7" w:rsidRDefault="004506B7" w:rsidP="004506B7">
      <w:pPr>
        <w:rPr>
          <w:color w:val="000000"/>
        </w:rPr>
      </w:pPr>
      <w:r>
        <w:rPr>
          <w:rFonts w:ascii="Calibri" w:hAnsi="Calibri" w:cs="Calibri"/>
          <w:color w:val="000000"/>
          <w:sz w:val="22"/>
          <w:szCs w:val="22"/>
        </w:rPr>
        <w:t xml:space="preserve">Content ingested by individual organizations is aggregated into the CTDA public interface, where </w:t>
      </w:r>
      <w:r>
        <w:rPr>
          <w:rFonts w:ascii="Calibri" w:hAnsi="Calibri" w:cs="Calibri"/>
          <w:color w:val="000000"/>
          <w:sz w:val="22"/>
          <w:szCs w:val="22"/>
        </w:rPr>
        <w:t>2+</w:t>
      </w:r>
      <w:r>
        <w:rPr>
          <w:rFonts w:ascii="Calibri" w:hAnsi="Calibri" w:cs="Calibri"/>
          <w:color w:val="000000"/>
          <w:sz w:val="22"/>
          <w:szCs w:val="22"/>
        </w:rPr>
        <w:t xml:space="preserve"> million digital objects from more than </w:t>
      </w:r>
      <w:r>
        <w:rPr>
          <w:rFonts w:ascii="Calibri" w:hAnsi="Calibri" w:cs="Calibri"/>
          <w:color w:val="000000"/>
          <w:sz w:val="22"/>
          <w:szCs w:val="22"/>
        </w:rPr>
        <w:t>60</w:t>
      </w:r>
      <w:r>
        <w:rPr>
          <w:rFonts w:ascii="Calibri" w:hAnsi="Calibri" w:cs="Calibri"/>
          <w:color w:val="000000"/>
          <w:sz w:val="22"/>
          <w:szCs w:val="22"/>
        </w:rPr>
        <w:t xml:space="preserve"> institutions are available for view. Furthermore, content in the CTDA is open to web crawlers and search engines, and as a Service Hub, </w:t>
      </w:r>
      <w:r>
        <w:rPr>
          <w:rFonts w:ascii="Calibri" w:hAnsi="Calibri" w:cs="Calibri"/>
          <w:color w:val="000000"/>
          <w:sz w:val="22"/>
          <w:szCs w:val="22"/>
        </w:rPr>
        <w:t>the CTDA</w:t>
      </w:r>
      <w:r>
        <w:rPr>
          <w:rFonts w:ascii="Calibri" w:hAnsi="Calibri" w:cs="Calibri"/>
          <w:color w:val="000000"/>
          <w:sz w:val="22"/>
          <w:szCs w:val="22"/>
        </w:rPr>
        <w:t xml:space="preserve"> contribute</w:t>
      </w:r>
      <w:r>
        <w:rPr>
          <w:rFonts w:ascii="Calibri" w:hAnsi="Calibri" w:cs="Calibri"/>
          <w:color w:val="000000"/>
          <w:sz w:val="22"/>
          <w:szCs w:val="22"/>
        </w:rPr>
        <w:t>s</w:t>
      </w:r>
      <w:r>
        <w:rPr>
          <w:rFonts w:ascii="Calibri" w:hAnsi="Calibri" w:cs="Calibri"/>
          <w:color w:val="000000"/>
          <w:sz w:val="22"/>
          <w:szCs w:val="22"/>
        </w:rPr>
        <w:t> records to the DLPA on a regular basis, making it possible for individual organizations to have a reach and exposure they would not otherwise get. </w:t>
      </w:r>
      <w:r>
        <w:rPr>
          <w:rStyle w:val="apple-converted-space"/>
          <w:rFonts w:ascii="Calibri" w:hAnsi="Calibri" w:cs="Calibri"/>
          <w:color w:val="000000"/>
          <w:sz w:val="22"/>
          <w:szCs w:val="22"/>
        </w:rPr>
        <w:t> </w:t>
      </w:r>
    </w:p>
    <w:p w14:paraId="5B222319" w14:textId="77777777" w:rsidR="004506B7" w:rsidRDefault="004506B7" w:rsidP="004506B7">
      <w:pPr>
        <w:rPr>
          <w:color w:val="000000"/>
        </w:rPr>
      </w:pPr>
      <w:r>
        <w:rPr>
          <w:rFonts w:ascii="Calibri" w:hAnsi="Calibri" w:cs="Calibri"/>
          <w:color w:val="000000"/>
          <w:sz w:val="22"/>
          <w:szCs w:val="22"/>
        </w:rPr>
        <w:t> </w:t>
      </w:r>
    </w:p>
    <w:p w14:paraId="47A95F6E" w14:textId="77777777" w:rsidR="004506B7" w:rsidRDefault="004506B7" w:rsidP="004506B7">
      <w:pPr>
        <w:rPr>
          <w:color w:val="000000"/>
        </w:rPr>
      </w:pPr>
      <w:r>
        <w:rPr>
          <w:rFonts w:ascii="Calibri" w:hAnsi="Calibri" w:cs="Calibri"/>
          <w:color w:val="000000"/>
          <w:sz w:val="22"/>
          <w:szCs w:val="22"/>
        </w:rPr>
        <w:t>Question D.1</w:t>
      </w:r>
    </w:p>
    <w:p w14:paraId="47BEE7A3" w14:textId="5DD1FB69" w:rsidR="004506B7" w:rsidRDefault="004506B7" w:rsidP="004506B7">
      <w:pPr>
        <w:rPr>
          <w:color w:val="000000"/>
        </w:rPr>
      </w:pPr>
      <w:r>
        <w:rPr>
          <w:rFonts w:ascii="Calibri" w:hAnsi="Calibri" w:cs="Calibri"/>
          <w:color w:val="000000"/>
          <w:sz w:val="22"/>
          <w:szCs w:val="22"/>
        </w:rPr>
        <w:t>Metadata, thumbnails, and access derivatives will be openly available to the public and delivered primarily through the CTDA web portal (</w:t>
      </w:r>
      <w:hyperlink r:id="rId17" w:history="1">
        <w:r>
          <w:rPr>
            <w:rStyle w:val="Hyperlink"/>
            <w:rFonts w:ascii="Calibri" w:hAnsi="Calibri" w:cs="Calibri"/>
            <w:sz w:val="22"/>
            <w:szCs w:val="22"/>
          </w:rPr>
          <w:t>https://ctdigitalarchive.org</w:t>
        </w:r>
      </w:hyperlink>
      <w:r>
        <w:rPr>
          <w:rStyle w:val="apple-converted-space"/>
          <w:rFonts w:ascii="Calibri" w:hAnsi="Calibri" w:cs="Calibri"/>
          <w:color w:val="000000"/>
          <w:sz w:val="22"/>
          <w:szCs w:val="22"/>
        </w:rPr>
        <w:t> </w:t>
      </w:r>
      <w:r>
        <w:rPr>
          <w:rFonts w:ascii="Calibri" w:hAnsi="Calibri" w:cs="Calibri"/>
          <w:color w:val="000000"/>
          <w:sz w:val="22"/>
          <w:szCs w:val="22"/>
        </w:rPr>
        <w:t xml:space="preserve">) on its Fedora/Islandora/Drupal repository system that is run and maintained at the University of Connecticut and is accessible through standard web browsers. </w:t>
      </w:r>
      <w:r>
        <w:rPr>
          <w:rFonts w:ascii="Calibri" w:hAnsi="Calibri" w:cs="Calibri"/>
          <w:color w:val="000000"/>
          <w:sz w:val="22"/>
          <w:szCs w:val="22"/>
        </w:rPr>
        <w:t>Additionally</w:t>
      </w:r>
      <w:r>
        <w:rPr>
          <w:rFonts w:ascii="Calibri" w:hAnsi="Calibri" w:cs="Calibri"/>
          <w:color w:val="000000"/>
          <w:sz w:val="22"/>
          <w:szCs w:val="22"/>
        </w:rPr>
        <w:t>, records are contributed to the DPLA. </w:t>
      </w:r>
    </w:p>
    <w:p w14:paraId="01C9288B" w14:textId="77777777" w:rsidR="004506B7" w:rsidRDefault="004506B7" w:rsidP="004506B7">
      <w:pPr>
        <w:rPr>
          <w:color w:val="000000"/>
        </w:rPr>
      </w:pPr>
      <w:r>
        <w:rPr>
          <w:rFonts w:ascii="Calibri" w:hAnsi="Calibri" w:cs="Calibri"/>
          <w:color w:val="000000"/>
          <w:sz w:val="22"/>
          <w:szCs w:val="22"/>
        </w:rPr>
        <w:t> </w:t>
      </w:r>
    </w:p>
    <w:p w14:paraId="1D25052F" w14:textId="77777777" w:rsidR="004506B7" w:rsidRDefault="004506B7" w:rsidP="004506B7">
      <w:pPr>
        <w:rPr>
          <w:color w:val="000000"/>
        </w:rPr>
      </w:pPr>
      <w:r>
        <w:rPr>
          <w:rFonts w:ascii="Calibri" w:hAnsi="Calibri" w:cs="Calibri"/>
          <w:color w:val="000000"/>
          <w:sz w:val="22"/>
          <w:szCs w:val="22"/>
        </w:rPr>
        <w:t> </w:t>
      </w:r>
    </w:p>
    <w:p w14:paraId="3044A7C1" w14:textId="77777777" w:rsidR="004506B7" w:rsidRDefault="004506B7" w:rsidP="004506B7">
      <w:pPr>
        <w:rPr>
          <w:color w:val="000000"/>
        </w:rPr>
      </w:pPr>
      <w:r>
        <w:rPr>
          <w:rFonts w:ascii="Calibri" w:hAnsi="Calibri" w:cs="Calibri"/>
          <w:color w:val="000000"/>
          <w:sz w:val="22"/>
          <w:szCs w:val="22"/>
        </w:rPr>
        <w:t>Question D.2</w:t>
      </w:r>
    </w:p>
    <w:p w14:paraId="54E47320" w14:textId="3819B977" w:rsidR="004506B7" w:rsidRDefault="004506B7" w:rsidP="004506B7">
      <w:pPr>
        <w:rPr>
          <w:color w:val="000000"/>
        </w:rPr>
      </w:pPr>
      <w:r>
        <w:rPr>
          <w:rFonts w:ascii="Calibri" w:hAnsi="Calibri" w:cs="Calibri"/>
          <w:color w:val="000000"/>
          <w:sz w:val="22"/>
          <w:szCs w:val="22"/>
        </w:rPr>
        <w:t>The CTDA has over</w:t>
      </w:r>
      <w:r>
        <w:rPr>
          <w:rFonts w:ascii="Calibri" w:hAnsi="Calibri" w:cs="Calibri"/>
          <w:color w:val="000000"/>
          <w:sz w:val="22"/>
          <w:szCs w:val="22"/>
        </w:rPr>
        <w:t xml:space="preserve"> 2 </w:t>
      </w:r>
      <w:r>
        <w:rPr>
          <w:rFonts w:ascii="Calibri" w:hAnsi="Calibri" w:cs="Calibri"/>
          <w:color w:val="000000"/>
          <w:sz w:val="22"/>
          <w:szCs w:val="22"/>
        </w:rPr>
        <w:t xml:space="preserve">million objects in its repository, contributed by more than </w:t>
      </w:r>
      <w:r>
        <w:rPr>
          <w:rFonts w:ascii="Calibri" w:hAnsi="Calibri" w:cs="Calibri"/>
          <w:color w:val="000000"/>
          <w:sz w:val="22"/>
          <w:szCs w:val="22"/>
        </w:rPr>
        <w:t>60</w:t>
      </w:r>
      <w:r>
        <w:rPr>
          <w:rFonts w:ascii="Calibri" w:hAnsi="Calibri" w:cs="Calibri"/>
          <w:color w:val="000000"/>
          <w:sz w:val="22"/>
          <w:szCs w:val="22"/>
        </w:rPr>
        <w:t xml:space="preserve"> institutions across the state in a wide variety of formats. Each object has a globally unique handle from handle.net. </w:t>
      </w:r>
    </w:p>
    <w:p w14:paraId="5B216E90" w14:textId="77777777" w:rsidR="004506B7" w:rsidRDefault="004506B7" w:rsidP="004506B7">
      <w:pPr>
        <w:rPr>
          <w:color w:val="000000"/>
        </w:rPr>
      </w:pPr>
      <w:r>
        <w:rPr>
          <w:rFonts w:ascii="Calibri" w:hAnsi="Calibri" w:cs="Calibri"/>
          <w:color w:val="000000"/>
          <w:sz w:val="22"/>
          <w:szCs w:val="22"/>
        </w:rPr>
        <w:t> </w:t>
      </w:r>
    </w:p>
    <w:p w14:paraId="2C9B5F48" w14:textId="77777777" w:rsidR="004506B7" w:rsidRDefault="004506B7" w:rsidP="004506B7">
      <w:pPr>
        <w:rPr>
          <w:color w:val="000000"/>
        </w:rPr>
      </w:pPr>
      <w:r>
        <w:rPr>
          <w:rFonts w:ascii="Calibri" w:hAnsi="Calibri" w:cs="Calibri"/>
          <w:color w:val="000000"/>
          <w:sz w:val="22"/>
          <w:szCs w:val="22"/>
        </w:rPr>
        <w:t>The primary portal is available at: </w:t>
      </w:r>
      <w:r>
        <w:rPr>
          <w:rStyle w:val="apple-converted-space"/>
          <w:rFonts w:ascii="Calibri" w:hAnsi="Calibri" w:cs="Calibri"/>
          <w:color w:val="000000"/>
          <w:sz w:val="22"/>
          <w:szCs w:val="22"/>
        </w:rPr>
        <w:t> </w:t>
      </w:r>
      <w:hyperlink r:id="rId18" w:history="1">
        <w:r>
          <w:rPr>
            <w:rStyle w:val="Hyperlink"/>
            <w:rFonts w:ascii="Calibri" w:hAnsi="Calibri" w:cs="Calibri"/>
            <w:sz w:val="22"/>
            <w:szCs w:val="22"/>
          </w:rPr>
          <w:t>https://ctdigitalarchive.org</w:t>
        </w:r>
      </w:hyperlink>
    </w:p>
    <w:p w14:paraId="5FA3263F" w14:textId="77777777" w:rsidR="004506B7" w:rsidRDefault="004506B7" w:rsidP="004506B7">
      <w:pPr>
        <w:rPr>
          <w:color w:val="000000"/>
        </w:rPr>
      </w:pPr>
      <w:r>
        <w:rPr>
          <w:rFonts w:ascii="Calibri" w:hAnsi="Calibri" w:cs="Calibri"/>
          <w:color w:val="000000"/>
          <w:sz w:val="22"/>
          <w:szCs w:val="22"/>
        </w:rPr>
        <w:t> </w:t>
      </w:r>
    </w:p>
    <w:p w14:paraId="14510DD4" w14:textId="77777777" w:rsidR="004506B7" w:rsidRPr="004506B7" w:rsidRDefault="004506B7"/>
    <w:sectPr w:rsidR="004506B7" w:rsidRPr="004506B7" w:rsidSect="00327A1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3E34" w14:textId="77777777" w:rsidR="00610F8D" w:rsidRDefault="00610F8D" w:rsidP="0051299A">
      <w:r>
        <w:separator/>
      </w:r>
    </w:p>
  </w:endnote>
  <w:endnote w:type="continuationSeparator" w:id="0">
    <w:p w14:paraId="5C044618" w14:textId="77777777" w:rsidR="00610F8D" w:rsidRDefault="00610F8D" w:rsidP="0051299A">
      <w:r>
        <w:continuationSeparator/>
      </w:r>
    </w:p>
  </w:endnote>
  <w:endnote w:type="continuationNotice" w:id="1">
    <w:p w14:paraId="01BA6381" w14:textId="77777777" w:rsidR="00610F8D" w:rsidRDefault="00610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78B7" w14:textId="77777777" w:rsidR="00941DDC" w:rsidRDefault="0094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8FCD" w14:textId="77777777" w:rsidR="000D2403" w:rsidRPr="005D797A" w:rsidRDefault="005D797A" w:rsidP="005D797A">
    <w:pPr>
      <w:pStyle w:val="Header"/>
      <w:rPr>
        <w:sz w:val="28"/>
        <w:szCs w:val="28"/>
      </w:rPr>
    </w:pPr>
    <w:r w:rsidRPr="0024332E">
      <w:rPr>
        <w:noProof/>
      </w:rPr>
      <w:drawing>
        <wp:anchor distT="0" distB="0" distL="114300" distR="114300" simplePos="0" relativeHeight="251658242" behindDoc="0" locked="0" layoutInCell="1" allowOverlap="1" wp14:anchorId="3502614A" wp14:editId="375B35BD">
          <wp:simplePos x="0" y="0"/>
          <wp:positionH relativeFrom="column">
            <wp:posOffset>4943825</wp:posOffset>
          </wp:positionH>
          <wp:positionV relativeFrom="paragraph">
            <wp:posOffset>-7913</wp:posOffset>
          </wp:positionV>
          <wp:extent cx="810986" cy="266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1532" cy="266880"/>
                  </a:xfrm>
                  <a:prstGeom prst="rect">
                    <a:avLst/>
                  </a:prstGeom>
                </pic:spPr>
              </pic:pic>
            </a:graphicData>
          </a:graphic>
          <wp14:sizeRelH relativeFrom="margin">
            <wp14:pctWidth>0</wp14:pctWidth>
          </wp14:sizeRelH>
          <wp14:sizeRelV relativeFrom="margin">
            <wp14:pctHeight>0</wp14:pctHeight>
          </wp14:sizeRelV>
        </wp:anchor>
      </w:drawing>
    </w:r>
    <w:r w:rsidR="00A535A2" w:rsidRPr="00D84B2A">
      <w:rPr>
        <w:noProof/>
        <w:sz w:val="28"/>
        <w:szCs w:val="28"/>
      </w:rPr>
      <w:drawing>
        <wp:anchor distT="0" distB="0" distL="114300" distR="114300" simplePos="0" relativeHeight="251658241" behindDoc="0" locked="0" layoutInCell="1" allowOverlap="1" wp14:anchorId="4129760B" wp14:editId="6EA24A6D">
          <wp:simplePos x="0" y="0"/>
          <wp:positionH relativeFrom="column">
            <wp:posOffset>-47820</wp:posOffset>
          </wp:positionH>
          <wp:positionV relativeFrom="paragraph">
            <wp:posOffset>-6985</wp:posOffset>
          </wp:positionV>
          <wp:extent cx="280830" cy="267168"/>
          <wp:effectExtent l="0" t="0" r="0" b="0"/>
          <wp:wrapNone/>
          <wp:docPr id="2" name="Picture 43209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96977"/>
                  <pic:cNvPicPr/>
                </pic:nvPicPr>
                <pic:blipFill>
                  <a:blip r:embed="rId2">
                    <a:extLst>
                      <a:ext uri="{28A0092B-C50C-407E-A947-70E740481C1C}">
                        <a14:useLocalDpi xmlns:a14="http://schemas.microsoft.com/office/drawing/2010/main" val="0"/>
                      </a:ext>
                    </a:extLst>
                  </a:blip>
                  <a:stretch>
                    <a:fillRect/>
                  </a:stretch>
                </pic:blipFill>
                <pic:spPr>
                  <a:xfrm>
                    <a:off x="0" y="0"/>
                    <a:ext cx="280830" cy="267168"/>
                  </a:xfrm>
                  <a:prstGeom prst="rect">
                    <a:avLst/>
                  </a:prstGeom>
                </pic:spPr>
              </pic:pic>
            </a:graphicData>
          </a:graphic>
          <wp14:sizeRelH relativeFrom="page">
            <wp14:pctWidth>0</wp14:pctWidth>
          </wp14:sizeRelH>
          <wp14:sizeRelV relativeFrom="page">
            <wp14:pctHeight>0</wp14:pctHeight>
          </wp14:sizeRelV>
        </wp:anchor>
      </w:drawing>
    </w:r>
    <w:r>
      <w:rPr>
        <w:color w:val="002060"/>
        <w:sz w:val="28"/>
        <w:szCs w:val="28"/>
      </w:rPr>
      <w:t xml:space="preserve">       </w:t>
    </w:r>
    <w:r w:rsidR="00A535A2" w:rsidRPr="00D84B2A">
      <w:rPr>
        <w:color w:val="002060"/>
        <w:sz w:val="28"/>
        <w:szCs w:val="28"/>
      </w:rPr>
      <w:t>Digital Preservation Repository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1A9B" w14:textId="77777777" w:rsidR="001F78B3" w:rsidRPr="005D797A" w:rsidRDefault="001F78B3" w:rsidP="001F78B3">
    <w:pPr>
      <w:pStyle w:val="Header"/>
      <w:rPr>
        <w:sz w:val="28"/>
        <w:szCs w:val="28"/>
      </w:rPr>
    </w:pPr>
    <w:r w:rsidRPr="0024332E">
      <w:rPr>
        <w:noProof/>
      </w:rPr>
      <w:drawing>
        <wp:anchor distT="0" distB="0" distL="114300" distR="114300" simplePos="0" relativeHeight="251658244" behindDoc="0" locked="0" layoutInCell="1" allowOverlap="1" wp14:anchorId="61D7FC22" wp14:editId="35F089BB">
          <wp:simplePos x="0" y="0"/>
          <wp:positionH relativeFrom="column">
            <wp:posOffset>4943825</wp:posOffset>
          </wp:positionH>
          <wp:positionV relativeFrom="paragraph">
            <wp:posOffset>-7913</wp:posOffset>
          </wp:positionV>
          <wp:extent cx="810986" cy="2667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1532" cy="266880"/>
                  </a:xfrm>
                  <a:prstGeom prst="rect">
                    <a:avLst/>
                  </a:prstGeom>
                </pic:spPr>
              </pic:pic>
            </a:graphicData>
          </a:graphic>
          <wp14:sizeRelH relativeFrom="margin">
            <wp14:pctWidth>0</wp14:pctWidth>
          </wp14:sizeRelH>
          <wp14:sizeRelV relativeFrom="margin">
            <wp14:pctHeight>0</wp14:pctHeight>
          </wp14:sizeRelV>
        </wp:anchor>
      </w:drawing>
    </w:r>
    <w:r w:rsidRPr="00D84B2A">
      <w:rPr>
        <w:noProof/>
        <w:sz w:val="28"/>
        <w:szCs w:val="28"/>
      </w:rPr>
      <w:drawing>
        <wp:anchor distT="0" distB="0" distL="114300" distR="114300" simplePos="0" relativeHeight="251658243" behindDoc="0" locked="0" layoutInCell="1" allowOverlap="1" wp14:anchorId="67E09B8E" wp14:editId="2EBC8183">
          <wp:simplePos x="0" y="0"/>
          <wp:positionH relativeFrom="column">
            <wp:posOffset>-47820</wp:posOffset>
          </wp:positionH>
          <wp:positionV relativeFrom="paragraph">
            <wp:posOffset>-6985</wp:posOffset>
          </wp:positionV>
          <wp:extent cx="280830" cy="267168"/>
          <wp:effectExtent l="0" t="0" r="0" b="0"/>
          <wp:wrapNone/>
          <wp:docPr id="6" name="Picture 43209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96977"/>
                  <pic:cNvPicPr/>
                </pic:nvPicPr>
                <pic:blipFill>
                  <a:blip r:embed="rId2">
                    <a:extLst>
                      <a:ext uri="{28A0092B-C50C-407E-A947-70E740481C1C}">
                        <a14:useLocalDpi xmlns:a14="http://schemas.microsoft.com/office/drawing/2010/main" val="0"/>
                      </a:ext>
                    </a:extLst>
                  </a:blip>
                  <a:stretch>
                    <a:fillRect/>
                  </a:stretch>
                </pic:blipFill>
                <pic:spPr>
                  <a:xfrm>
                    <a:off x="0" y="0"/>
                    <a:ext cx="280830" cy="267168"/>
                  </a:xfrm>
                  <a:prstGeom prst="rect">
                    <a:avLst/>
                  </a:prstGeom>
                </pic:spPr>
              </pic:pic>
            </a:graphicData>
          </a:graphic>
          <wp14:sizeRelH relativeFrom="page">
            <wp14:pctWidth>0</wp14:pctWidth>
          </wp14:sizeRelH>
          <wp14:sizeRelV relativeFrom="page">
            <wp14:pctHeight>0</wp14:pctHeight>
          </wp14:sizeRelV>
        </wp:anchor>
      </w:drawing>
    </w:r>
    <w:r>
      <w:rPr>
        <w:color w:val="002060"/>
        <w:sz w:val="28"/>
        <w:szCs w:val="28"/>
      </w:rPr>
      <w:t xml:space="preserve">       </w:t>
    </w:r>
    <w:r w:rsidRPr="00D84B2A">
      <w:rPr>
        <w:color w:val="002060"/>
        <w:sz w:val="28"/>
        <w:szCs w:val="28"/>
      </w:rPr>
      <w:t>Digital Preservation Repository Program</w:t>
    </w:r>
  </w:p>
  <w:p w14:paraId="36BC785D" w14:textId="77777777" w:rsidR="00F35945" w:rsidRDefault="00F3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001D8" w14:textId="77777777" w:rsidR="00610F8D" w:rsidRDefault="00610F8D" w:rsidP="0051299A">
      <w:r>
        <w:separator/>
      </w:r>
    </w:p>
  </w:footnote>
  <w:footnote w:type="continuationSeparator" w:id="0">
    <w:p w14:paraId="1C799384" w14:textId="77777777" w:rsidR="00610F8D" w:rsidRDefault="00610F8D" w:rsidP="0051299A">
      <w:r>
        <w:continuationSeparator/>
      </w:r>
    </w:p>
  </w:footnote>
  <w:footnote w:type="continuationNotice" w:id="1">
    <w:p w14:paraId="16F2D06A" w14:textId="77777777" w:rsidR="00610F8D" w:rsidRDefault="00610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7028918"/>
      <w:docPartObj>
        <w:docPartGallery w:val="Page Numbers (Top of Page)"/>
        <w:docPartUnique/>
      </w:docPartObj>
    </w:sdtPr>
    <w:sdtEndPr>
      <w:rPr>
        <w:rStyle w:val="PageNumber"/>
      </w:rPr>
    </w:sdtEndPr>
    <w:sdtContent>
      <w:p w14:paraId="0B91F051" w14:textId="77777777" w:rsidR="0043052C" w:rsidRDefault="0043052C" w:rsidP="003D1F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D0660" w14:textId="77777777" w:rsidR="00F35945" w:rsidRDefault="00F3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077554"/>
      <w:docPartObj>
        <w:docPartGallery w:val="Page Numbers (Top of Page)"/>
        <w:docPartUnique/>
      </w:docPartObj>
    </w:sdtPr>
    <w:sdtEndPr>
      <w:rPr>
        <w:rStyle w:val="PageNumber"/>
      </w:rPr>
    </w:sdtEndPr>
    <w:sdtContent>
      <w:p w14:paraId="55C39E16" w14:textId="77777777" w:rsidR="0043052C" w:rsidRDefault="0043052C" w:rsidP="003D1F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948490" w14:textId="77777777" w:rsidR="00077783" w:rsidRPr="00077783" w:rsidRDefault="000572F5" w:rsidP="0043052C">
    <w:pPr>
      <w:pStyle w:val="Header"/>
      <w:tabs>
        <w:tab w:val="clear" w:pos="4680"/>
        <w:tab w:val="clear" w:pos="9360"/>
        <w:tab w:val="left" w:pos="8407"/>
      </w:tabs>
      <w:ind w:right="360"/>
      <w:rPr>
        <w:color w:val="C00000"/>
        <w:sz w:val="28"/>
        <w:szCs w:val="28"/>
      </w:rPr>
    </w:pPr>
    <w:r>
      <w:rPr>
        <w:noProof/>
      </w:rPr>
      <w:drawing>
        <wp:anchor distT="0" distB="0" distL="114300" distR="114300" simplePos="0" relativeHeight="251658240" behindDoc="1" locked="0" layoutInCell="1" allowOverlap="1" wp14:anchorId="2B21E51C" wp14:editId="4E5F31B2">
          <wp:simplePos x="0" y="0"/>
          <wp:positionH relativeFrom="column">
            <wp:posOffset>0</wp:posOffset>
          </wp:positionH>
          <wp:positionV relativeFrom="paragraph">
            <wp:posOffset>-27989</wp:posOffset>
          </wp:positionV>
          <wp:extent cx="306984" cy="28838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7 at 8.16.13 AM.png"/>
                  <pic:cNvPicPr/>
                </pic:nvPicPr>
                <pic:blipFill>
                  <a:blip r:embed="rId1">
                    <a:extLst>
                      <a:ext uri="{28A0092B-C50C-407E-A947-70E740481C1C}">
                        <a14:useLocalDpi xmlns:a14="http://schemas.microsoft.com/office/drawing/2010/main" val="0"/>
                      </a:ext>
                    </a:extLst>
                  </a:blip>
                  <a:stretch>
                    <a:fillRect/>
                  </a:stretch>
                </pic:blipFill>
                <pic:spPr>
                  <a:xfrm>
                    <a:off x="0" y="0"/>
                    <a:ext cx="306984" cy="288388"/>
                  </a:xfrm>
                  <a:prstGeom prst="rect">
                    <a:avLst/>
                  </a:prstGeom>
                </pic:spPr>
              </pic:pic>
            </a:graphicData>
          </a:graphic>
          <wp14:sizeRelH relativeFrom="page">
            <wp14:pctWidth>0</wp14:pctWidth>
          </wp14:sizeRelH>
          <wp14:sizeRelV relativeFrom="page">
            <wp14:pctHeight>0</wp14:pctHeight>
          </wp14:sizeRelV>
        </wp:anchor>
      </w:drawing>
    </w:r>
    <w:r w:rsidR="00397902">
      <w:rPr>
        <w:color w:val="C00000"/>
        <w:sz w:val="28"/>
        <w:szCs w:val="28"/>
      </w:rPr>
      <w:t xml:space="preserve">        </w:t>
    </w:r>
    <w:r w:rsidR="00077783" w:rsidRPr="00EF304D">
      <w:rPr>
        <w:color w:val="C00000"/>
        <w:sz w:val="32"/>
        <w:szCs w:val="32"/>
      </w:rPr>
      <w:t>Connecticut Digital Archive</w:t>
    </w:r>
    <w:r w:rsidR="00077783">
      <w:rPr>
        <w:color w:val="C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F111" w14:textId="77777777" w:rsidR="00F70CB2" w:rsidRPr="00077783" w:rsidRDefault="00F70CB2" w:rsidP="00EC4B17">
    <w:pPr>
      <w:pStyle w:val="Header"/>
      <w:tabs>
        <w:tab w:val="clear" w:pos="4680"/>
        <w:tab w:val="clear" w:pos="9360"/>
        <w:tab w:val="left" w:pos="8407"/>
      </w:tabs>
      <w:rPr>
        <w:color w:val="C00000"/>
        <w:sz w:val="28"/>
        <w:szCs w:val="28"/>
      </w:rPr>
    </w:pPr>
    <w:r>
      <w:rPr>
        <w:noProof/>
      </w:rPr>
      <w:drawing>
        <wp:anchor distT="0" distB="0" distL="114300" distR="114300" simplePos="0" relativeHeight="251660292" behindDoc="1" locked="0" layoutInCell="1" allowOverlap="1" wp14:anchorId="630E2DE8" wp14:editId="3204164B">
          <wp:simplePos x="0" y="0"/>
          <wp:positionH relativeFrom="column">
            <wp:posOffset>0</wp:posOffset>
          </wp:positionH>
          <wp:positionV relativeFrom="paragraph">
            <wp:posOffset>-27989</wp:posOffset>
          </wp:positionV>
          <wp:extent cx="306984" cy="28838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7 at 8.16.13 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984" cy="288388"/>
                  </a:xfrm>
                  <a:prstGeom prst="rect">
                    <a:avLst/>
                  </a:prstGeom>
                </pic:spPr>
              </pic:pic>
            </a:graphicData>
          </a:graphic>
          <wp14:sizeRelH relativeFrom="page">
            <wp14:pctWidth>0</wp14:pctWidth>
          </wp14:sizeRelH>
          <wp14:sizeRelV relativeFrom="page">
            <wp14:pctHeight>0</wp14:pctHeight>
          </wp14:sizeRelV>
        </wp:anchor>
      </w:drawing>
    </w:r>
    <w:r>
      <w:rPr>
        <w:color w:val="C00000"/>
        <w:sz w:val="28"/>
        <w:szCs w:val="28"/>
      </w:rPr>
      <w:t xml:space="preserve">        </w:t>
    </w:r>
    <w:r w:rsidRPr="00EF304D">
      <w:rPr>
        <w:color w:val="C00000"/>
        <w:sz w:val="32"/>
        <w:szCs w:val="32"/>
      </w:rPr>
      <w:t>Connecticut Digital Archive</w:t>
    </w:r>
    <w:r>
      <w:rPr>
        <w:color w:val="C00000"/>
        <w:sz w:val="28"/>
        <w:szCs w:val="28"/>
      </w:rPr>
      <w:tab/>
    </w:r>
  </w:p>
  <w:p w14:paraId="0FD5DB57" w14:textId="77777777" w:rsidR="00F70CB2" w:rsidRPr="00791E69" w:rsidRDefault="00941DDC" w:rsidP="00EC4B17">
    <w:pPr>
      <w:pStyle w:val="Heading2"/>
    </w:pPr>
    <w:r>
      <w:t>Digital Preservation</w:t>
    </w:r>
    <w:r w:rsidR="00F70CB2" w:rsidRPr="00010422">
      <w:t xml:space="preserve"> </w:t>
    </w:r>
    <w:r w:rsidR="00F70CB2">
      <w:t>Services from the UConn Library</w:t>
    </w:r>
  </w:p>
  <w:p w14:paraId="1A4C5AFF" w14:textId="77777777" w:rsidR="00F70CB2" w:rsidRPr="00F70CB2" w:rsidRDefault="00F70CB2" w:rsidP="00F7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4D12"/>
    <w:multiLevelType w:val="hybridMultilevel"/>
    <w:tmpl w:val="132C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4DAB"/>
    <w:multiLevelType w:val="hybridMultilevel"/>
    <w:tmpl w:val="132C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33841"/>
    <w:multiLevelType w:val="hybridMultilevel"/>
    <w:tmpl w:val="132C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8D"/>
    <w:rsid w:val="00012B09"/>
    <w:rsid w:val="00016E92"/>
    <w:rsid w:val="00034217"/>
    <w:rsid w:val="0005440F"/>
    <w:rsid w:val="00055466"/>
    <w:rsid w:val="000572F5"/>
    <w:rsid w:val="000640FC"/>
    <w:rsid w:val="00077783"/>
    <w:rsid w:val="000A34C2"/>
    <w:rsid w:val="000B1F1B"/>
    <w:rsid w:val="000B50B3"/>
    <w:rsid w:val="000C44F5"/>
    <w:rsid w:val="000D2403"/>
    <w:rsid w:val="00137838"/>
    <w:rsid w:val="00152306"/>
    <w:rsid w:val="00166577"/>
    <w:rsid w:val="001954EC"/>
    <w:rsid w:val="001A1AB5"/>
    <w:rsid w:val="001A2C85"/>
    <w:rsid w:val="001A3EAB"/>
    <w:rsid w:val="001B3273"/>
    <w:rsid w:val="001F3A8D"/>
    <w:rsid w:val="001F7005"/>
    <w:rsid w:val="001F78B3"/>
    <w:rsid w:val="00205AC2"/>
    <w:rsid w:val="00274D0E"/>
    <w:rsid w:val="00293282"/>
    <w:rsid w:val="0029619B"/>
    <w:rsid w:val="002A245C"/>
    <w:rsid w:val="002C6F93"/>
    <w:rsid w:val="00302F41"/>
    <w:rsid w:val="0031172A"/>
    <w:rsid w:val="00315762"/>
    <w:rsid w:val="003160E3"/>
    <w:rsid w:val="00327A1E"/>
    <w:rsid w:val="00350940"/>
    <w:rsid w:val="00361A05"/>
    <w:rsid w:val="0036501D"/>
    <w:rsid w:val="00366A02"/>
    <w:rsid w:val="0037185A"/>
    <w:rsid w:val="00384D0A"/>
    <w:rsid w:val="00384F4D"/>
    <w:rsid w:val="003930F5"/>
    <w:rsid w:val="00397902"/>
    <w:rsid w:val="003F7E1B"/>
    <w:rsid w:val="004035E1"/>
    <w:rsid w:val="0042288A"/>
    <w:rsid w:val="00427506"/>
    <w:rsid w:val="0043052C"/>
    <w:rsid w:val="004506B7"/>
    <w:rsid w:val="004635F6"/>
    <w:rsid w:val="004A64CE"/>
    <w:rsid w:val="004B46FB"/>
    <w:rsid w:val="004F6932"/>
    <w:rsid w:val="00501596"/>
    <w:rsid w:val="0051299A"/>
    <w:rsid w:val="005254D4"/>
    <w:rsid w:val="00535EE0"/>
    <w:rsid w:val="00554C58"/>
    <w:rsid w:val="005812BD"/>
    <w:rsid w:val="005939AE"/>
    <w:rsid w:val="00593F43"/>
    <w:rsid w:val="005A0CFF"/>
    <w:rsid w:val="005D2773"/>
    <w:rsid w:val="005D797A"/>
    <w:rsid w:val="00604EFD"/>
    <w:rsid w:val="00610F8D"/>
    <w:rsid w:val="006B7049"/>
    <w:rsid w:val="006D1531"/>
    <w:rsid w:val="006F129C"/>
    <w:rsid w:val="006F3D1D"/>
    <w:rsid w:val="00782E1C"/>
    <w:rsid w:val="007917D3"/>
    <w:rsid w:val="00791E69"/>
    <w:rsid w:val="007D2397"/>
    <w:rsid w:val="00844462"/>
    <w:rsid w:val="0089193C"/>
    <w:rsid w:val="008D5DE2"/>
    <w:rsid w:val="008F31B4"/>
    <w:rsid w:val="008F571D"/>
    <w:rsid w:val="00915F91"/>
    <w:rsid w:val="00920137"/>
    <w:rsid w:val="00926024"/>
    <w:rsid w:val="00941DDC"/>
    <w:rsid w:val="00947631"/>
    <w:rsid w:val="009564ED"/>
    <w:rsid w:val="009C5320"/>
    <w:rsid w:val="009D417D"/>
    <w:rsid w:val="009F44D0"/>
    <w:rsid w:val="00A4727F"/>
    <w:rsid w:val="00A535A2"/>
    <w:rsid w:val="00A54028"/>
    <w:rsid w:val="00A86C3C"/>
    <w:rsid w:val="00AB6EF3"/>
    <w:rsid w:val="00AC53CC"/>
    <w:rsid w:val="00AD0654"/>
    <w:rsid w:val="00AE1E51"/>
    <w:rsid w:val="00B147D3"/>
    <w:rsid w:val="00B33873"/>
    <w:rsid w:val="00B40357"/>
    <w:rsid w:val="00BB06B0"/>
    <w:rsid w:val="00BC7CE1"/>
    <w:rsid w:val="00BD2E13"/>
    <w:rsid w:val="00BF66A2"/>
    <w:rsid w:val="00C11683"/>
    <w:rsid w:val="00C20A45"/>
    <w:rsid w:val="00C42E67"/>
    <w:rsid w:val="00C722D8"/>
    <w:rsid w:val="00CA1160"/>
    <w:rsid w:val="00CA3378"/>
    <w:rsid w:val="00CA57CA"/>
    <w:rsid w:val="00CB136C"/>
    <w:rsid w:val="00CD0E73"/>
    <w:rsid w:val="00CD1076"/>
    <w:rsid w:val="00CE4A56"/>
    <w:rsid w:val="00CF7BE9"/>
    <w:rsid w:val="00D95471"/>
    <w:rsid w:val="00DA50EB"/>
    <w:rsid w:val="00DB1096"/>
    <w:rsid w:val="00DB7E0F"/>
    <w:rsid w:val="00DD1012"/>
    <w:rsid w:val="00DE55AB"/>
    <w:rsid w:val="00E15297"/>
    <w:rsid w:val="00E15A3A"/>
    <w:rsid w:val="00E95110"/>
    <w:rsid w:val="00EA019E"/>
    <w:rsid w:val="00EC091B"/>
    <w:rsid w:val="00EF304D"/>
    <w:rsid w:val="00EF33DD"/>
    <w:rsid w:val="00F00D48"/>
    <w:rsid w:val="00F35945"/>
    <w:rsid w:val="00F379DF"/>
    <w:rsid w:val="00F40F11"/>
    <w:rsid w:val="00F568E2"/>
    <w:rsid w:val="00F70CB2"/>
    <w:rsid w:val="00FA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9A87"/>
  <w15:chartTrackingRefBased/>
  <w15:docId w15:val="{816EBEC9-96CA-5448-80B2-B0CE348F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D"/>
  </w:style>
  <w:style w:type="paragraph" w:styleId="Heading2">
    <w:name w:val="heading 2"/>
    <w:basedOn w:val="Normal"/>
    <w:next w:val="Normal"/>
    <w:link w:val="Heading2Char"/>
    <w:uiPriority w:val="9"/>
    <w:unhideWhenUsed/>
    <w:qFormat/>
    <w:rsid w:val="00EC09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29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99A"/>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51299A"/>
    <w:rPr>
      <w:rFonts w:eastAsiaTheme="minorEastAsia"/>
      <w:sz w:val="20"/>
      <w:szCs w:val="20"/>
    </w:rPr>
  </w:style>
  <w:style w:type="character" w:customStyle="1" w:styleId="FootnoteTextChar">
    <w:name w:val="Footnote Text Char"/>
    <w:basedOn w:val="DefaultParagraphFont"/>
    <w:link w:val="FootnoteText"/>
    <w:uiPriority w:val="99"/>
    <w:semiHidden/>
    <w:rsid w:val="0051299A"/>
    <w:rPr>
      <w:rFonts w:eastAsiaTheme="minorEastAsia"/>
      <w:sz w:val="20"/>
      <w:szCs w:val="20"/>
    </w:rPr>
  </w:style>
  <w:style w:type="character" w:styleId="FootnoteReference">
    <w:name w:val="footnote reference"/>
    <w:basedOn w:val="DefaultParagraphFont"/>
    <w:uiPriority w:val="99"/>
    <w:semiHidden/>
    <w:unhideWhenUsed/>
    <w:rsid w:val="0051299A"/>
    <w:rPr>
      <w:vertAlign w:val="superscript"/>
    </w:rPr>
  </w:style>
  <w:style w:type="character" w:styleId="Hyperlink">
    <w:name w:val="Hyperlink"/>
    <w:basedOn w:val="DefaultParagraphFont"/>
    <w:uiPriority w:val="99"/>
    <w:unhideWhenUsed/>
    <w:rsid w:val="0051299A"/>
    <w:rPr>
      <w:color w:val="0563C1" w:themeColor="hyperlink"/>
      <w:u w:val="single"/>
    </w:rPr>
  </w:style>
  <w:style w:type="paragraph" w:styleId="BalloonText">
    <w:name w:val="Balloon Text"/>
    <w:basedOn w:val="Normal"/>
    <w:link w:val="BalloonTextChar"/>
    <w:uiPriority w:val="99"/>
    <w:semiHidden/>
    <w:unhideWhenUsed/>
    <w:rsid w:val="00077783"/>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077783"/>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077783"/>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077783"/>
    <w:rPr>
      <w:rFonts w:eastAsiaTheme="minorEastAsia"/>
      <w:sz w:val="22"/>
      <w:szCs w:val="22"/>
    </w:rPr>
  </w:style>
  <w:style w:type="paragraph" w:styleId="Footer">
    <w:name w:val="footer"/>
    <w:basedOn w:val="Normal"/>
    <w:link w:val="FooterChar"/>
    <w:uiPriority w:val="99"/>
    <w:unhideWhenUsed/>
    <w:rsid w:val="00077783"/>
    <w:pPr>
      <w:tabs>
        <w:tab w:val="center" w:pos="4680"/>
        <w:tab w:val="right" w:pos="9360"/>
      </w:tabs>
    </w:pPr>
    <w:rPr>
      <w:rFonts w:eastAsiaTheme="minorEastAsia"/>
      <w:sz w:val="22"/>
      <w:szCs w:val="22"/>
    </w:rPr>
  </w:style>
  <w:style w:type="character" w:customStyle="1" w:styleId="FooterChar">
    <w:name w:val="Footer Char"/>
    <w:basedOn w:val="DefaultParagraphFont"/>
    <w:link w:val="Footer"/>
    <w:uiPriority w:val="99"/>
    <w:rsid w:val="00077783"/>
    <w:rPr>
      <w:rFonts w:eastAsiaTheme="minorEastAsia"/>
      <w:sz w:val="22"/>
      <w:szCs w:val="22"/>
    </w:rPr>
  </w:style>
  <w:style w:type="character" w:customStyle="1" w:styleId="Heading2Char">
    <w:name w:val="Heading 2 Char"/>
    <w:basedOn w:val="DefaultParagraphFont"/>
    <w:link w:val="Heading2"/>
    <w:uiPriority w:val="9"/>
    <w:rsid w:val="00EC09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57CA"/>
    <w:pPr>
      <w:ind w:left="720"/>
      <w:contextualSpacing/>
    </w:pPr>
    <w:rPr>
      <w:rFonts w:eastAsiaTheme="minorEastAsia"/>
      <w:sz w:val="22"/>
      <w:szCs w:val="22"/>
    </w:rPr>
  </w:style>
  <w:style w:type="character" w:styleId="PageNumber">
    <w:name w:val="page number"/>
    <w:basedOn w:val="DefaultParagraphFont"/>
    <w:uiPriority w:val="99"/>
    <w:semiHidden/>
    <w:unhideWhenUsed/>
    <w:rsid w:val="00F35945"/>
  </w:style>
  <w:style w:type="character" w:customStyle="1" w:styleId="UnresolvedMention1">
    <w:name w:val="Unresolved Mention1"/>
    <w:basedOn w:val="DefaultParagraphFont"/>
    <w:uiPriority w:val="99"/>
    <w:semiHidden/>
    <w:unhideWhenUsed/>
    <w:rsid w:val="00DE55AB"/>
    <w:rPr>
      <w:color w:val="605E5C"/>
      <w:shd w:val="clear" w:color="auto" w:fill="E1DFDD"/>
    </w:rPr>
  </w:style>
  <w:style w:type="character" w:customStyle="1" w:styleId="apple-converted-space">
    <w:name w:val="apple-converted-space"/>
    <w:basedOn w:val="DefaultParagraphFont"/>
    <w:rsid w:val="0045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1736">
      <w:bodyDiv w:val="1"/>
      <w:marLeft w:val="0"/>
      <w:marRight w:val="0"/>
      <w:marTop w:val="0"/>
      <w:marBottom w:val="0"/>
      <w:divBdr>
        <w:top w:val="none" w:sz="0" w:space="0" w:color="auto"/>
        <w:left w:val="none" w:sz="0" w:space="0" w:color="auto"/>
        <w:bottom w:val="none" w:sz="0" w:space="0" w:color="auto"/>
        <w:right w:val="none" w:sz="0" w:space="0" w:color="auto"/>
      </w:divBdr>
    </w:div>
    <w:div w:id="13557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gov/standards/mods/" TargetMode="External"/><Relationship Id="rId18" Type="http://schemas.openxmlformats.org/officeDocument/2006/relationships/hyperlink" Target="https://ctdigitalarchiv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nfluence.uconn.edu/display/CTDA/Policies" TargetMode="External"/><Relationship Id="rId17" Type="http://schemas.openxmlformats.org/officeDocument/2006/relationships/hyperlink" Target="https://ctdigitalarchiv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fluence.uconn.edu/display/CTDA/Poli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coverygarden.ca/abou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onfluence.uconn.edu/display/CTDA/Describing+Your+Objects?preview=/50922349/73859578/CTDA_Metadata_Guidelines_201605.pdf" TargetMode="External"/><Relationship Id="rId23" Type="http://schemas.openxmlformats.org/officeDocument/2006/relationships/header" Target="header3.xml"/><Relationship Id="rId10" Type="http://schemas.openxmlformats.org/officeDocument/2006/relationships/hyperlink" Target="https://ctdigitalarchiv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isapp2.iu.edu/confluence-prd/display/iulDLFAquifer/MODS+Guidelines+Levels+of+Adop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colati/Library/Group%20Containers/UBF8T346G9.Office/User%20Content.localized/Templates.localized/CTD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C177F8FF91C41BD2D977AB299B22F" ma:contentTypeVersion="13" ma:contentTypeDescription="Create a new document." ma:contentTypeScope="" ma:versionID="495edf0e90babb0eee410045ef5dd4ff">
  <xsd:schema xmlns:xsd="http://www.w3.org/2001/XMLSchema" xmlns:xs="http://www.w3.org/2001/XMLSchema" xmlns:p="http://schemas.microsoft.com/office/2006/metadata/properties" xmlns:ns2="3117ecab-ab40-4f13-a937-ac03442d631c" xmlns:ns3="93bdf68f-9822-47de-9b55-d05f332d3bd9" targetNamespace="http://schemas.microsoft.com/office/2006/metadata/properties" ma:root="true" ma:fieldsID="2b364f590afe1c88caba2f83b7b4d8e9" ns2:_="" ns3:_="">
    <xsd:import namespace="3117ecab-ab40-4f13-a937-ac03442d631c"/>
    <xsd:import namespace="93bdf68f-9822-47de-9b55-d05f332d3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Size" minOccurs="0"/>
                <xsd:element ref="ns2:lfvq"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7ecab-ab40-4f13-a937-ac03442d6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Size" ma:index="15" nillable="true" ma:displayName="Size" ma:format="DateOnly" ma:internalName="Size">
      <xsd:simpleType>
        <xsd:restriction base="dms:DateTime"/>
      </xsd:simpleType>
    </xsd:element>
    <xsd:element name="lfvq" ma:index="16" nillable="true" ma:displayName="Number" ma:internalName="lfvq">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df68f-9822-47de-9b55-d05f332d3b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vq xmlns="3117ecab-ab40-4f13-a937-ac03442d631c" xsi:nil="true"/>
    <Size xmlns="3117ecab-ab40-4f13-a937-ac03442d631c" xsi:nil="true"/>
  </documentManagement>
</p:properties>
</file>

<file path=customXml/itemProps1.xml><?xml version="1.0" encoding="utf-8"?>
<ds:datastoreItem xmlns:ds="http://schemas.openxmlformats.org/officeDocument/2006/customXml" ds:itemID="{CCACDACC-2F27-435D-9E18-646135A7E3C8}"/>
</file>

<file path=customXml/itemProps2.xml><?xml version="1.0" encoding="utf-8"?>
<ds:datastoreItem xmlns:ds="http://schemas.openxmlformats.org/officeDocument/2006/customXml" ds:itemID="{441E1A9A-C6EB-4727-B51A-959A90E55771}">
  <ds:schemaRefs>
    <ds:schemaRef ds:uri="http://schemas.microsoft.com/sharepoint/v3/contenttype/forms"/>
  </ds:schemaRefs>
</ds:datastoreItem>
</file>

<file path=customXml/itemProps3.xml><?xml version="1.0" encoding="utf-8"?>
<ds:datastoreItem xmlns:ds="http://schemas.openxmlformats.org/officeDocument/2006/customXml" ds:itemID="{CBC80CB4-F7C1-4BAD-AB4A-636F48E93B92}">
  <ds:schemaRefs>
    <ds:schemaRef ds:uri="http://schemas.microsoft.com/office/2006/metadata/properties"/>
    <ds:schemaRef ds:uri="http://schemas.microsoft.com/office/infopath/2007/PartnerControls"/>
    <ds:schemaRef ds:uri="3117ecab-ab40-4f13-a937-ac03442d631c"/>
  </ds:schemaRefs>
</ds:datastoreItem>
</file>

<file path=docProps/app.xml><?xml version="1.0" encoding="utf-8"?>
<Properties xmlns="http://schemas.openxmlformats.org/officeDocument/2006/extended-properties" xmlns:vt="http://schemas.openxmlformats.org/officeDocument/2006/docPropsVTypes">
  <Template>CTDA2.dotx</Template>
  <TotalTime>16</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Colati, Gregory</cp:lastModifiedBy>
  <cp:revision>2</cp:revision>
  <dcterms:created xsi:type="dcterms:W3CDTF">2021-01-14T16:09:00Z</dcterms:created>
  <dcterms:modified xsi:type="dcterms:W3CDTF">2021-01-14T16:37:00Z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0x010100E3EC177F8FF91C41BD2D977AB299B22F</vt:lpwstr>
  </property>
</Properties>
</file>